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DC7DF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DC7DF7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C7DF7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DC7DF7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DC7DF7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DC7DF7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2025 г.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01.01.2025</w:t>
            </w:r>
          </w:p>
        </w:tc>
      </w:tr>
      <w:tr w:rsidR="00DC7DF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C7DF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  <w:jc w:val="center"/>
                  </w:pP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</w:tr>
      <w:tr w:rsidR="00DC7DF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</w:tr>
      <w:tr w:rsidR="00DC7DF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Куликовского сельского поселения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DC7DF7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52618416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</w:tr>
      <w:tr w:rsidR="00DC7DF7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C7DF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DC7DF7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DC7DF7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DC7DF7" w:rsidRDefault="00DC7DF7">
      <w:pPr>
        <w:rPr>
          <w:vanish/>
        </w:rPr>
      </w:pPr>
      <w:bookmarkStart w:id="2" w:name="__bookmark_3"/>
      <w:bookmarkEnd w:id="2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DC7DF7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"Организационная структура субъекта бюджетной отчетности"</w:t>
            </w:r>
          </w:p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C7DF7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Полное наименование: Администрация Куликовского сельского поселения Калачинского муниципального района Омской области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Юридический адрес: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646927,Омская область,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Калачинский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.К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уликово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ул.50 лет ВЛКСМ дом 3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Фактический адрес: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646927,Омская область,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</w:t>
                  </w:r>
                  <w:r>
                    <w:rPr>
                      <w:color w:val="000000"/>
                      <w:sz w:val="28"/>
                      <w:szCs w:val="28"/>
                    </w:rPr>
                    <w:t>алачинский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.К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уликово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ул.50 лет ВЛКСМ дом 3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Куликовского сельского поселения является исполнительно-распорядительным органом местного самоуправления Куликовского сельского поселения. Обладает правами юридического лица, имеет самостоят</w:t>
                  </w:r>
                  <w:r>
                    <w:rPr>
                      <w:color w:val="000000"/>
                      <w:sz w:val="28"/>
                      <w:szCs w:val="28"/>
                    </w:rPr>
                    <w:t>ельный баланс, лицевые счета в органе, исполняющем бюджет.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Администрация Куликовского сельского поселения осуществляет процедуру подтверждения бюджетных обязательств и финансирование расходов, организует и ведёт бюджетный учет операций связанных с поступле</w:t>
                  </w:r>
                  <w:r>
                    <w:rPr>
                      <w:color w:val="000000"/>
                      <w:sz w:val="28"/>
                      <w:szCs w:val="28"/>
                    </w:rPr>
                    <w:t>нием доходов и финансированием расходов, распоряжается средствами на лицевых счетах, осуществляет контроль за целевым и эффективным расходованием средств местного бюджета.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Задачами администрации являются: 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1)решение вопросов содержания и использования муни</w:t>
                  </w:r>
                  <w:r>
                    <w:rPr>
                      <w:color w:val="000000"/>
                      <w:sz w:val="28"/>
                      <w:szCs w:val="28"/>
                    </w:rPr>
                    <w:t>ципального имущества; 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2) прием населения, рассмотрение жалоб, заявлений и обращений граждан по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вопросам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отнесенным к компетенции администрации, принятие по ним необходимых мер; 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3) выполнение Программы социально-экономического развития сельского поселения</w:t>
                  </w:r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4) выполнение решений Совета Куликовского сельского поселения, принятых в пределах его полномочий;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5) решение иных вопросов, отнесенных законодательством, актами органов местного самоуправления к компетенции администрации. 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Осуществление и учёт операци</w:t>
                  </w:r>
                  <w:r>
                    <w:rPr>
                      <w:color w:val="000000"/>
                      <w:sz w:val="28"/>
                      <w:szCs w:val="28"/>
                    </w:rPr>
                    <w:t>й по кассовым выплатам из бюджета Куликовского поселения  ведется в условиях открытия в Управлении Федерального казначейства по Омской  области лицевого счета финансовому органу с кодом 02.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Возглавляет администрацию глава Куликовского сельского поселения н</w:t>
                  </w:r>
                  <w:r>
                    <w:rPr>
                      <w:color w:val="000000"/>
                      <w:sz w:val="28"/>
                      <w:szCs w:val="28"/>
                    </w:rPr>
                    <w:t>а принципе единоначалия. Штат администрации на 01 января 2025 года  составляет 4,5 единиц, в том числе муниципальных служащих-1,0 единица.</w:t>
                  </w:r>
                </w:p>
                <w:p w:rsidR="00DC7DF7" w:rsidRDefault="005262C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Годовой отчет об исполнении  бюджета Куликовского сельского поселения за 2024 год составлен на основании бюджетной от</w:t>
                  </w:r>
                  <w:r>
                    <w:rPr>
                      <w:color w:val="000000"/>
                      <w:sz w:val="28"/>
                      <w:szCs w:val="28"/>
                    </w:rPr>
                    <w:t>чётности финансового органа поселения, отчетности об исполнении бюджетов главного распорядителя бюджетных средств (администрация поселения),  бюджетной отчётности администраторов доходов бюджета, администрирующих поступления с кодом элемента «10» в 13 - 14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разрядах кодов доходной классификации.</w:t>
                  </w:r>
                </w:p>
              </w:tc>
            </w:tr>
          </w:tbl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DC7DF7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"Результаты деятельности субъекта бюджетной отчетности"</w:t>
            </w:r>
          </w:p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C7DF7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Финансирование деятельности осуществляется за счет средств местного бюджета. На содержание администрации в 2024 году направлено 4 351,8 тыс. руб., что составляет 100 % от плана.</w:t>
                  </w:r>
                </w:p>
                <w:p w:rsidR="00DC7DF7" w:rsidRDefault="005262C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Величина, состав и технический уровень основных фондов администрации соответст</w:t>
                  </w:r>
                  <w:r>
                    <w:rPr>
                      <w:color w:val="000000"/>
                      <w:sz w:val="28"/>
                      <w:szCs w:val="28"/>
                    </w:rPr>
                    <w:t>вуют реальной потребности. Обеспечение материальными запасами и основными средствами производится своевременно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. </w:t>
                  </w:r>
                  <w:proofErr w:type="gramEnd"/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. </w:t>
                  </w:r>
                </w:p>
              </w:tc>
            </w:tr>
          </w:tbl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C7DF7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"Анализ отчета об исполнении бюджета субъектом бюджетной отчетности"</w:t>
            </w:r>
          </w:p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C7DF7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DC7DF7" w:rsidRDefault="005262CF">
                  <w:pPr>
                    <w:ind w:firstLine="7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Информация об исполнении текстовых статей Решения Совета Куликовского сельского поселения "О бюджете Куликовского сельского поселения Калачинского муниципального района Омской области на 2024 год и на плановый период 2025 и  2026 годов № 43 от 15.12.2023 п</w:t>
                  </w:r>
                  <w:r>
                    <w:rPr>
                      <w:color w:val="000000"/>
                      <w:sz w:val="28"/>
                      <w:szCs w:val="28"/>
                    </w:rPr>
                    <w:t>редставлена в приложении к пояснительной записке – Таблице № 3 «Сведения об исполнении текстовых статей закона (решения) о бюджете»</w:t>
                  </w:r>
                  <w:proofErr w:type="gramEnd"/>
                </w:p>
                <w:p w:rsidR="00DC7DF7" w:rsidRDefault="005262CF">
                  <w:pPr>
                    <w:ind w:left="-320" w:firstLine="3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форме 0503164 «Сведения об исполнении бюджета» отражены показатели исполнения местного бюджета.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По расходам  не исполнены доведенные бюджетные данные по разделу 0409 (исполнение составило 78,7 % утвержденных бюджетных назначений) так как оплата работ произведена «по факту» на основании актов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выполненных работ.</w:t>
                  </w:r>
                </w:p>
                <w:p w:rsidR="00DC7DF7" w:rsidRDefault="005262CF">
                  <w:pPr>
                    <w:ind w:left="-320" w:firstLine="3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0503166 «Сведения об исполнении ме</w:t>
                  </w:r>
                  <w:r>
                    <w:rPr>
                      <w:color w:val="000000"/>
                      <w:sz w:val="28"/>
                      <w:szCs w:val="28"/>
                    </w:rPr>
                    <w:t>роприятий в рамках целевых программ» в составе отчетности не представлена, так как согласно инструкции Приложение оформляется получателями средств федерального бюджета.</w:t>
                  </w:r>
                </w:p>
                <w:p w:rsidR="00DC7DF7" w:rsidRDefault="005262CF">
                  <w:pPr>
                    <w:ind w:left="-320" w:firstLine="32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В 2024 году целевые иностранные кредиты в бюджет поселения не привлекались,  в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связи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 </w:t>
                  </w:r>
                  <w:r>
                    <w:rPr>
                      <w:color w:val="000000"/>
                      <w:sz w:val="28"/>
                      <w:szCs w:val="28"/>
                    </w:rPr>
                    <w:t>чем форма 0503167 «Сведения о целевых иностранных кредитах» не представлена.</w:t>
                  </w:r>
                </w:p>
              </w:tc>
            </w:tr>
          </w:tbl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DC7DF7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"Анализ показателей бухгалтерской отчетности субъекта бюджетной отчетности"</w:t>
            </w:r>
          </w:p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C7DF7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целях характеристики показателей финансовой отчетности в составе пояснительной записки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представлены: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формы 0503168 «Сведения о движении нефинансовых активов» 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формы 0503169 «Сведения по дебиторской и кредиторской задолженности»;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форма 0503173 «Сведения об изменении остатков валюты баланса»</w:t>
                  </w:r>
                </w:p>
                <w:p w:rsidR="00DC7DF7" w:rsidRDefault="005262CF">
                  <w:pPr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            Сведения по дебиторской и к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редиторской задолженности (ф.0503169)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                                      Сведения по дебиторской задолженности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Общая сумма дебиторской задолженности на 01.01.2025 года составила  12 550 700,67  руб.,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.: 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1 205 23 000 - </w:t>
                  </w:r>
                  <w:r>
                    <w:rPr>
                      <w:color w:val="000000"/>
                      <w:sz w:val="28"/>
                      <w:szCs w:val="28"/>
                    </w:rPr>
                    <w:t>расчеты по доходам платежей при пользовании природными ресурсами 562 792,57   руб., в том числе долгосрочные доходы 412 629,38    руб. (поступление в 2025 году не ожидается)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расчеты по иным доходам от собственности счет 1 205 29 000 (плата за размещение не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стационарного торгового объекта, плата за коммерческий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найм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жилья)- 66 906,06 руб., в том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числе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долгосрочные 45 600 руб.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счету 1 205 51 000 руб. –  доходы будущих периодов по дотациям и субвенциям на 2025-2027 годы 11 170 468,39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в том числе долгос</w:t>
                  </w:r>
                  <w:r>
                    <w:rPr>
                      <w:color w:val="000000"/>
                      <w:sz w:val="28"/>
                      <w:szCs w:val="28"/>
                    </w:rPr>
                    <w:t>рочные 6 784 865,10 руб.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по счету 1 206 23 000-дебиторская задолженность поставщиков за электроэнергию 26 690,91 руб., газ для нужд отопления -50 309,48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предоплата за ГСМ  в сумме 15 700,54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отражена на счете 1 206 34 000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счет 1 209 41 000 пени за 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арушение условий контракта 5 626,88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 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частично восстановлена переплата по ЕНС в сумме 17 725,16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в том числе ЕСВ, налоги на транспорт и земельный налог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                                                       Сведения по кредиторской задолженности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Общ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ая сумма кредиторской задолженности на 01.01.2025 года  составила  151 291,19  руб.,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т.ч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.: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счету 1 302 21 000 - Задолженность за услуги связи за декабрь 24г – 8 917,94  руб.  (срок уплаты 20.01.25 года), по счету 1 302 23 000 - 47 887,17  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задолжен</w:t>
                  </w:r>
                  <w:r>
                    <w:rPr>
                      <w:color w:val="000000"/>
                      <w:sz w:val="28"/>
                      <w:szCs w:val="28"/>
                    </w:rPr>
                    <w:t>ность за э/энергию за декабрь 2024г – 38 140,43 руб. (срок уплаты 18.01.2025), транспортировку газа - 9 746,74 руб., по счету 1 302 25 000 -  услуги по обслуживанию газопровода 5 193,51  руб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., пени за несвоевременную уплату э/энергии 4,04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руб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 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1 30305 000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- транспортный налог за 4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кв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-1 126 руб., земельный налог по счету 1 30313 000 в сумме 648 руб.,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а также взносы на травматизм и ЕСВ за декабрь в сумме 87 514,53 руб.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Также в разделе отражена задолженность по счетам:</w:t>
                  </w:r>
                </w:p>
                <w:p w:rsidR="00DC7DF7" w:rsidRDefault="005262CF">
                  <w:pPr>
                    <w:spacing w:before="100" w:after="1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1 401 40 000 (доходы будущих периодов) –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12 176 890,71  руб.</w:t>
                  </w:r>
                </w:p>
                <w:p w:rsidR="00DC7DF7" w:rsidRDefault="005262CF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1 401 60 000 - 17 176,45  руб.</w:t>
                  </w:r>
                </w:p>
              </w:tc>
            </w:tr>
          </w:tbl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DC7DF7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"Прочие вопросы деятельности субъекта бюджетной отчетности"</w:t>
            </w:r>
          </w:p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DC7DF7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400" w:type="dxa"/>
                  </w:tcMar>
                </w:tcPr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Ведение бюджетного учёта осуществляется на основании действующих инструкций по бюджетному учёту, утверждённых приказами Министерства финансов Российской Федерации, Федеральных стандартов бухгалтерского учета государственных финансов.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Для автоматизации веде</w:t>
                  </w:r>
                  <w:r>
                    <w:rPr>
                      <w:color w:val="000000"/>
                      <w:sz w:val="28"/>
                      <w:szCs w:val="28"/>
                    </w:rPr>
                    <w:t>ния бюджетного учета используется программный продукт "Парус",  для ведения росписи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 xml:space="preserve"> ,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составления и представления отчетности  используется ГИС Омской области «ЕСУБП».    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В целях составления годовой отчетности  проведена инвентаризация имущества и обязател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ьств. Расхождений не установлено, в результате чего 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таблица 6 «Сведения о проведении инвентаризаций» </w:t>
                  </w:r>
                  <w:r>
                    <w:rPr>
                      <w:color w:val="000000"/>
                      <w:sz w:val="28"/>
                      <w:szCs w:val="28"/>
                    </w:rPr>
                    <w:t>не составлена. </w:t>
                  </w:r>
                </w:p>
                <w:p w:rsidR="00DC7DF7" w:rsidRDefault="005262CF">
                  <w:pPr>
                    <w:ind w:firstLine="700"/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Перечень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форм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не включенных в состав годовой отчетности в связи с отсутствием  показателей для заполнения форм приведен в таблице 16</w:t>
                  </w:r>
                </w:p>
              </w:tc>
            </w:tr>
          </w:tbl>
          <w:p w:rsidR="00DC7DF7" w:rsidRDefault="005262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C7DF7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</w:tbl>
    <w:p w:rsidR="00DC7DF7" w:rsidRDefault="00DC7DF7">
      <w:pPr>
        <w:rPr>
          <w:vanish/>
        </w:rPr>
      </w:pPr>
      <w:bookmarkStart w:id="3" w:name="__bookmark_4"/>
      <w:bookmarkEnd w:id="3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DC7DF7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DC7DF7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ГЛАВА КУЛИКОВСКОГО СЕЛЬСКОГО ПОСЕЛЕНИЯ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DC7DF7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Балякно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Василий Васильевич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5262C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C7DF7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DC7DF7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C7DF7" w:rsidRDefault="005262CF">
                        <w:r>
                          <w:rPr>
                            <w:color w:val="000000"/>
                          </w:rPr>
                          <w:t>Сертификат: 472B83A241FDF18477AAAE5F502CAB4B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Владелец: АДМИНИСТРАЦИЯ КУЛИКОВСКОГО СЕЛЬСКОГО ПОСЕЛЕНИЯ КАЛАЧИНСКОГО МУНИЦИПАЛЬНОГО РАЙОНА ОМСКОЙ ОБЛАСТИ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Действителен с 27.03.2024 по 20.06.2025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Дата подписания: 25.03.2025</w:t>
                        </w:r>
                      </w:p>
                    </w:tc>
                  </w:tr>
                </w:tbl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DC7DF7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ГЛАВА КУЛИКОВСКОГО СЕЛЬСКОГО ПОСЕЛЕНИЯ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DC7DF7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Балякно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Василий Васильевич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5262C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C7DF7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DC7DF7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C7DF7" w:rsidRDefault="005262CF">
                        <w:r>
                          <w:rPr>
                            <w:color w:val="000000"/>
                          </w:rPr>
                          <w:lastRenderedPageBreak/>
                          <w:t>Сертификат: 472B83A241FDF18477AAAE5F502CAB4B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Владелец: АДМИНИСТРАЦИЯ КУЛИКОВСКОГО СЕЛЬСКОГО ПОСЕЛЕНИЯ КАЛАЧИНСКОГО МУНИЦИПАЛЬНОГО РАЙОНА ОМСКОЙ ОБЛАСТИ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Действителен с 27.03.2024 по 20.06.2025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Дата подписания: 25.03.2025</w:t>
                        </w:r>
                      </w:p>
                    </w:tc>
                  </w:tr>
                </w:tbl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DC7DF7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ГЛАВА КУЛИКОВСКОГО СЕЛЬСКОГО ПОСЕЛЕНИЯ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DC7DF7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Балякно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Василий Васильевич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5262CF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DC7DF7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DC7DF7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C7DF7" w:rsidRDefault="005262CF">
                        <w:r>
                          <w:rPr>
                            <w:color w:val="000000"/>
                          </w:rPr>
                          <w:t>Сертификат: 472B83A241FDF18477AAAE5F502CAB4B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Владелец: АДМИНИСТРАЦИЯ КУЛИКОВСКОГО СЕЛЬСКОГО ПОСЕЛЕНИЯ КАЛАЧИНСКОГО МУНИЦИПАЛЬНОГО РАЙОНА ОМСКОЙ ОБЛАСТИ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Действителен с 27.03.2024 по 20.06.2025</w:t>
                        </w:r>
                      </w:p>
                      <w:p w:rsidR="00DC7DF7" w:rsidRDefault="005262CF">
                        <w:r>
                          <w:rPr>
                            <w:color w:val="000000"/>
                          </w:rPr>
                          <w:t>Дата подписания: 25.03.2025</w:t>
                        </w:r>
                      </w:p>
                    </w:tc>
                  </w:tr>
                </w:tbl>
                <w:p w:rsidR="00DC7DF7" w:rsidRDefault="00DC7DF7">
                  <w:pPr>
                    <w:spacing w:line="1" w:lineRule="auto"/>
                  </w:pPr>
                </w:p>
              </w:tc>
            </w:tr>
            <w:tr w:rsidR="00DC7DF7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DC7DF7">
                  <w:pPr>
                    <w:spacing w:line="1" w:lineRule="auto"/>
                  </w:pP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DC7DF7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C7DF7" w:rsidRDefault="005262CF">
                  <w:r>
                    <w:rPr>
                      <w:color w:val="000000"/>
                      <w:sz w:val="28"/>
                      <w:szCs w:val="28"/>
                    </w:rPr>
                    <w:t>17 февраля 2025 г.</w:t>
                  </w:r>
                </w:p>
              </w:tc>
            </w:tr>
          </w:tbl>
          <w:p w:rsidR="00DC7DF7" w:rsidRDefault="00DC7DF7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</w:tbl>
    <w:p w:rsidR="00DC7DF7" w:rsidRDefault="00DC7DF7">
      <w:pPr>
        <w:sectPr w:rsidR="00DC7DF7">
          <w:headerReference w:type="default" r:id="rId7"/>
          <w:footerReference w:type="default" r:id="rId8"/>
          <w:pgSz w:w="11905" w:h="16837"/>
          <w:pgMar w:top="1133" w:right="566" w:bottom="1133" w:left="1133" w:header="1133" w:footer="1133" w:gutter="0"/>
          <w:cols w:space="720"/>
        </w:sectPr>
      </w:pPr>
    </w:p>
    <w:p w:rsidR="00DC7DF7" w:rsidRDefault="00DC7DF7">
      <w:pPr>
        <w:rPr>
          <w:vanish/>
        </w:rPr>
      </w:pPr>
      <w:bookmarkStart w:id="4" w:name="__bookmark_6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62"/>
      </w:tblGrid>
      <w:tr w:rsidR="00DC7DF7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1. </w:t>
            </w:r>
            <w:r>
              <w:rPr>
                <w:color w:val="000000"/>
                <w:sz w:val="28"/>
                <w:szCs w:val="28"/>
              </w:rPr>
              <w:br/>
              <w:t>1. Утвердить основные характеристики бюджета Куликовского сельского поселения на 2024 год: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1) общий объем доходов бюджета поселения в сумме 36 840 193,93 рублей;</w:t>
            </w:r>
            <w:r>
              <w:rPr>
                <w:color w:val="000000"/>
                <w:sz w:val="28"/>
                <w:szCs w:val="28"/>
              </w:rPr>
              <w:br/>
              <w:t>2) общий объем расходов бюджета поселения в сумме 37 356 722,78 рублей;</w:t>
            </w:r>
            <w:r>
              <w:rPr>
                <w:color w:val="000000"/>
                <w:sz w:val="28"/>
                <w:szCs w:val="28"/>
              </w:rPr>
              <w:br/>
              <w:t>3) профицит бюджета поселения в сумме 516 528,85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1) Общий объем доходов исполнен на 100,00 %, за 202</w:t>
            </w:r>
            <w:r>
              <w:rPr>
                <w:color w:val="000000"/>
                <w:sz w:val="28"/>
                <w:szCs w:val="28"/>
              </w:rPr>
              <w:t>4 год поступило доходов в бюджет Куликовского сельского поселения 36 840 193,93  рублей;</w:t>
            </w:r>
            <w:r>
              <w:rPr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2) 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Общий объем расходов исполнен на 95,47 %, исполнение бюджета поселения по расходам составило 35 663 606,15  рублей; </w:t>
            </w:r>
            <w:r>
              <w:rPr>
                <w:color w:val="000000"/>
                <w:sz w:val="28"/>
                <w:szCs w:val="28"/>
              </w:rPr>
              <w:br/>
              <w:t>3) Бюджет исполнен с дефицитом 1 176 587,78  ру</w:t>
            </w:r>
            <w:r>
              <w:rPr>
                <w:color w:val="000000"/>
                <w:sz w:val="28"/>
                <w:szCs w:val="28"/>
              </w:rPr>
              <w:t>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2) Расходы не исполнены на сумму 1 693 116,63 рублей по разделу подразделу 04 09 «Дорожное хозяйство (дорожные фонды), в результате оплаты выполненных работ  по фактически заключенным договорам.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3 2. Утвердить объем бюджетных ассигнований дорожного фонда поселения на 2024 год в размере 7 949 319,1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Исполнение по дорожному фонду поселения составило 6 256 202,54 рублей или 78,7 %.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не исполнены на сумму 1 693 116,63 рублей  в результате оплаты выполненных работ  по фактически заключенным договорам.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Статья 4</w:t>
            </w:r>
            <w:r>
              <w:rPr>
                <w:color w:val="000000"/>
                <w:sz w:val="28"/>
                <w:szCs w:val="28"/>
              </w:rPr>
              <w:br/>
              <w:t>1. Создать в бюджете поселения резервный фонд администрации поселения на 2024 год в размере 0,00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за счет средств резервного фонда администрации поселения за 2024 год исполнены в размере 0,00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6 </w:t>
            </w:r>
            <w:r>
              <w:rPr>
                <w:color w:val="000000"/>
                <w:sz w:val="28"/>
                <w:szCs w:val="28"/>
              </w:rPr>
              <w:br/>
              <w:t>1. Утвердить: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1) объем межбюджетных трансфертов, получаемых  из других бюджетов бюджетной системы Российской Федерации в 2024 году в сумме 28 841 439,68 рублей;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lastRenderedPageBreak/>
              <w:t xml:space="preserve">2) объем межбюджетных трансфертов, предоставляемых другим бюджетам бюджетной системы Российской Федерации, в </w:t>
            </w:r>
            <w:r>
              <w:rPr>
                <w:color w:val="000000"/>
                <w:sz w:val="28"/>
                <w:szCs w:val="28"/>
              </w:rPr>
              <w:t xml:space="preserve">2024 году в сумме 90 760,00 рублей. </w:t>
            </w:r>
            <w:r>
              <w:rPr>
                <w:color w:val="000000"/>
                <w:sz w:val="28"/>
                <w:szCs w:val="28"/>
              </w:rPr>
              <w:br/>
              <w:t>2. Утвердить объем иных межбюджетных трансфертов бюджету Калачинского муниципального района Омской области на 2024 год в сумме 90 760,00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1) Исполнение по межбюджетным трансфертам, получаемых из других бюдже</w:t>
            </w:r>
            <w:r>
              <w:rPr>
                <w:color w:val="000000"/>
                <w:sz w:val="28"/>
                <w:szCs w:val="28"/>
              </w:rPr>
              <w:t xml:space="preserve">тов в бюджет поселения, составило в 2024 году 28 841 439,68 рублей или 100,00 %.   </w:t>
            </w:r>
            <w:r>
              <w:rPr>
                <w:color w:val="000000"/>
                <w:sz w:val="28"/>
                <w:szCs w:val="28"/>
              </w:rPr>
              <w:br/>
              <w:t xml:space="preserve">2) Исполнение по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межбюджетным трансфертам, предоставляемых бюджету Калачинского муниципального района Омской области, в 2024 году составило 90 760,00 рублей или 100,00 %.  </w:t>
            </w:r>
            <w:r>
              <w:rPr>
                <w:color w:val="000000"/>
                <w:sz w:val="28"/>
                <w:szCs w:val="28"/>
              </w:rPr>
              <w:br/>
              <w:t>2. Исполнение по иным межбюджетным трансфертам, предоставляемых бюджету Калачинского муниципального района Омской области, в 2024 году составило 90 760,00 рублей или 100,00 %.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Статья 7 </w:t>
            </w:r>
            <w:r>
              <w:rPr>
                <w:color w:val="000000"/>
                <w:sz w:val="28"/>
                <w:szCs w:val="28"/>
              </w:rPr>
              <w:br/>
              <w:t xml:space="preserve">1. Установить: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 xml:space="preserve">1) верхний предел муниципального внутреннего долга поселения на  1 января 2025 года в размере 0,00 рублей, в том числе верхний предел муниципального долга по муниципальным гарантиям поселения – 0,00 рублей; </w:t>
            </w:r>
            <w:r>
              <w:rPr>
                <w:color w:val="000000"/>
                <w:sz w:val="28"/>
                <w:szCs w:val="28"/>
              </w:rPr>
              <w:br/>
              <w:t>2) объем расходов на обслуживание муниципального</w:t>
            </w:r>
            <w:r>
              <w:rPr>
                <w:color w:val="000000"/>
                <w:sz w:val="28"/>
                <w:szCs w:val="28"/>
              </w:rPr>
              <w:t xml:space="preserve"> долга поселения в 2024 году в сумме 0,00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муниципального долга поселения на 1 января 2025 года равен нулю.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  <w:tr w:rsidR="00DC7DF7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</w:tbl>
    <w:p w:rsidR="00DC7DF7" w:rsidRDefault="00DC7DF7">
      <w:pPr>
        <w:sectPr w:rsidR="00DC7DF7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DC7DF7" w:rsidRDefault="00DC7DF7">
      <w:pPr>
        <w:rPr>
          <w:vanish/>
        </w:rPr>
      </w:pPr>
      <w:bookmarkStart w:id="5" w:name="__bookmark_17"/>
      <w:bookmarkEnd w:id="5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75"/>
        <w:gridCol w:w="1275"/>
        <w:gridCol w:w="1275"/>
        <w:gridCol w:w="1275"/>
        <w:gridCol w:w="1275"/>
        <w:gridCol w:w="1275"/>
        <w:gridCol w:w="1275"/>
        <w:gridCol w:w="1281"/>
      </w:tblGrid>
      <w:tr w:rsidR="00DC7DF7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3831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№16</w:t>
            </w:r>
          </w:p>
        </w:tc>
      </w:tr>
      <w:tr w:rsidR="00DC7DF7">
        <w:trPr>
          <w:trHeight w:val="322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</w:tc>
      </w:tr>
      <w:tr w:rsidR="00DC7DF7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  <w:tc>
          <w:tcPr>
            <w:tcW w:w="12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перед составлением годовой отчетности проведена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инвентаризация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по результатам которой расхождений не выявлено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задолженности по исполнительным документам не имеется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дополнительной корреспонденции счетов бюджетного учета учетной политикой не утверждалось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форм отчетности, не включенных в состав бюджетной </w:t>
            </w:r>
            <w:r>
              <w:rPr>
                <w:color w:val="000000"/>
                <w:sz w:val="28"/>
                <w:szCs w:val="28"/>
              </w:rPr>
              <w:t>отчетности за отчетный период ввиду отсутствия числовых значений показателей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Таблица 6 «Сведения о проведении инвентаризаций» форма  0503166 «Сведения об исполнении мероприятий в рамках целевых программ» форма 0503167 «Сведения о целевых иностранных кредит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ах» форма 0503171 «Сведения о финансовых вложениях получателя бюджетных средств, администратора источников финансирования дефицита бюджета» форма 0503172 «Сведения о государственном (муниципальном) долге», по причине отсутствия муниципального долга  форма </w:t>
            </w:r>
            <w:r>
              <w:rPr>
                <w:i/>
                <w:iCs/>
                <w:color w:val="000000"/>
                <w:sz w:val="28"/>
                <w:szCs w:val="28"/>
              </w:rPr>
              <w:t>0503174 «Сведения о доходах бюджета от перечисления части прибыли (дивидендов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) государственных (муниципальных) унитарных предприятий, иных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организаций с государственным участием в капитале»  форма 0503190 «Сведения о вложениях в объекты недвижимого имущест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ва, объектах незавершенного строительства» форма 0503296  «Сведения об исполнении судебных решений по </w:t>
            </w:r>
            <w:proofErr w:type="gramStart"/>
            <w:r>
              <w:rPr>
                <w:i/>
                <w:iCs/>
                <w:color w:val="000000"/>
                <w:sz w:val="28"/>
                <w:szCs w:val="28"/>
              </w:rPr>
              <w:t>де-нежным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обязательствам бюджета»</w:t>
            </w: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DC7DF7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Иной показатель:</w:t>
            </w: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  <w:jc w:val="center"/>
            </w:pPr>
          </w:p>
        </w:tc>
      </w:tr>
      <w:tr w:rsidR="00DC7DF7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5262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DC7DF7">
        <w:trPr>
          <w:trHeight w:val="1"/>
        </w:trPr>
        <w:tc>
          <w:tcPr>
            <w:tcW w:w="10206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C7DF7" w:rsidRDefault="00DC7DF7">
            <w:pPr>
              <w:spacing w:line="1" w:lineRule="auto"/>
            </w:pPr>
          </w:p>
        </w:tc>
      </w:tr>
    </w:tbl>
    <w:p w:rsidR="005262CF" w:rsidRDefault="005262CF"/>
    <w:sectPr w:rsidR="005262CF" w:rsidSect="00DC7DF7">
      <w:headerReference w:type="default" r:id="rId11"/>
      <w:footerReference w:type="default" r:id="rId12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2CF" w:rsidRDefault="005262CF" w:rsidP="00DC7DF7">
      <w:r>
        <w:separator/>
      </w:r>
    </w:p>
  </w:endnote>
  <w:endnote w:type="continuationSeparator" w:id="0">
    <w:p w:rsidR="005262CF" w:rsidRDefault="005262CF" w:rsidP="00DC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2CF" w:rsidRDefault="005262CF" w:rsidP="00DC7DF7">
      <w:r>
        <w:separator/>
      </w:r>
    </w:p>
  </w:footnote>
  <w:footnote w:type="continuationSeparator" w:id="0">
    <w:p w:rsidR="005262CF" w:rsidRDefault="005262CF" w:rsidP="00DC7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C7DF7">
      <w:trPr>
        <w:trHeight w:val="56"/>
      </w:trPr>
      <w:tc>
        <w:tcPr>
          <w:tcW w:w="10421" w:type="dxa"/>
        </w:tcPr>
        <w:p w:rsidR="00DC7DF7" w:rsidRDefault="00DC7DF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DF7"/>
    <w:rsid w:val="005262CF"/>
    <w:rsid w:val="00BC74D0"/>
    <w:rsid w:val="00DC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C7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2025-03-25T08:54:00Z</dcterms:created>
  <dcterms:modified xsi:type="dcterms:W3CDTF">2025-03-25T08:54:00Z</dcterms:modified>
</cp:coreProperties>
</file>